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bookmarkStart w:id="0" w:name="_GoBack"/>
      <w:bookmarkEnd w:id="0"/>
      <w:r>
        <w:rPr>
          <w:rFonts w:hint="eastAsia"/>
        </w:rPr>
        <w:t>附件1：</w:t>
      </w:r>
    </w:p>
    <w:tbl>
      <w:tblPr>
        <w:tblStyle w:val="7"/>
        <w:tblW w:w="13750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06"/>
        <w:gridCol w:w="7016"/>
        <w:gridCol w:w="2835"/>
        <w:gridCol w:w="2693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10" w:hRule="atLeast"/>
        </w:trPr>
        <w:tc>
          <w:tcPr>
            <w:tcW w:w="1375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40"/>
                <w:szCs w:val="40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40"/>
                <w:szCs w:val="40"/>
              </w:rPr>
              <w:t>环境学院2023-2024学年第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40"/>
                <w:szCs w:val="40"/>
                <w:lang w:val="en-US" w:eastAsia="zh-CN"/>
              </w:rPr>
              <w:t>二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40"/>
                <w:szCs w:val="40"/>
              </w:rPr>
              <w:t>学期转专业接收专业目录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1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8"/>
                <w:szCs w:val="28"/>
              </w:rPr>
              <w:t>序号</w:t>
            </w:r>
          </w:p>
        </w:tc>
        <w:tc>
          <w:tcPr>
            <w:tcW w:w="7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8"/>
                <w:szCs w:val="28"/>
              </w:rPr>
              <w:t>本院的专业名称和年级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8"/>
                <w:szCs w:val="28"/>
              </w:rPr>
              <w:t>接收人数</w:t>
            </w:r>
          </w:p>
        </w:tc>
        <w:tc>
          <w:tcPr>
            <w:tcW w:w="2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8"/>
                <w:szCs w:val="28"/>
              </w:rPr>
              <w:t>备注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8" w:hRule="atLeast"/>
        </w:trPr>
        <w:tc>
          <w:tcPr>
            <w:tcW w:w="1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</w:rPr>
              <w:t>1</w:t>
            </w:r>
          </w:p>
        </w:tc>
        <w:tc>
          <w:tcPr>
            <w:tcW w:w="7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</w:rPr>
              <w:t>环境工程-2022级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highlight w:val="none"/>
                <w:lang w:val="en-US" w:eastAsia="zh-CN"/>
              </w:rPr>
              <w:t>10</w:t>
            </w:r>
          </w:p>
        </w:tc>
        <w:tc>
          <w:tcPr>
            <w:tcW w:w="2693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/>
              </w:rPr>
              <w:t>环境科学专业、环境工程专业和给排 水科学与工程专业本次均可接收 202</w:t>
            </w:r>
            <w:r>
              <w:rPr>
                <w:rFonts w:hint="eastAsia"/>
                <w:lang w:val="en-US" w:eastAsia="zh-CN"/>
              </w:rPr>
              <w:t>2</w:t>
            </w:r>
            <w:r>
              <w:rPr>
                <w:rFonts w:hint="eastAsia"/>
              </w:rPr>
              <w:t>级学生，除环境科学、环境工程、给排水科学与工程等3个专业之间转专业并经学院转专业工作小组确定外，2022级申请人原则上应降级转入。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0" w:hRule="atLeast"/>
        </w:trPr>
        <w:tc>
          <w:tcPr>
            <w:tcW w:w="1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</w:rPr>
              <w:t>2</w:t>
            </w:r>
          </w:p>
        </w:tc>
        <w:tc>
          <w:tcPr>
            <w:tcW w:w="7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</w:rPr>
              <w:t>环境科学-2022级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</w:rPr>
              <w:t>6</w:t>
            </w:r>
          </w:p>
        </w:tc>
        <w:tc>
          <w:tcPr>
            <w:tcW w:w="2693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1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</w:rPr>
              <w:t>3</w:t>
            </w:r>
          </w:p>
        </w:tc>
        <w:tc>
          <w:tcPr>
            <w:tcW w:w="7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</w:rPr>
              <w:t>给排水科学与工程-2022级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8"/>
                <w:szCs w:val="28"/>
                <w:highlight w:val="none"/>
                <w:lang w:val="en-US" w:eastAsia="zh-CN"/>
              </w:rPr>
              <w:t>5</w:t>
            </w:r>
          </w:p>
        </w:tc>
        <w:tc>
          <w:tcPr>
            <w:tcW w:w="2693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1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</w:rPr>
              <w:t>4</w:t>
            </w:r>
          </w:p>
        </w:tc>
        <w:tc>
          <w:tcPr>
            <w:tcW w:w="7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</w:rPr>
              <w:t>环境工程-2023级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highlight w:val="none"/>
                <w:lang w:val="en-US" w:eastAsia="zh-CN"/>
              </w:rPr>
              <w:t>12</w:t>
            </w:r>
          </w:p>
        </w:tc>
        <w:tc>
          <w:tcPr>
            <w:tcW w:w="2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1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</w:rPr>
              <w:t>5</w:t>
            </w:r>
          </w:p>
        </w:tc>
        <w:tc>
          <w:tcPr>
            <w:tcW w:w="7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</w:rPr>
              <w:t>环境科学-2023级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highlight w:val="none"/>
                <w:lang w:val="en-US" w:eastAsia="zh-CN"/>
              </w:rPr>
              <w:t>6</w:t>
            </w:r>
          </w:p>
        </w:tc>
        <w:tc>
          <w:tcPr>
            <w:tcW w:w="2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1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</w:rPr>
              <w:t>6</w:t>
            </w:r>
          </w:p>
        </w:tc>
        <w:tc>
          <w:tcPr>
            <w:tcW w:w="7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</w:rPr>
              <w:t>给排水科学与工程-2023级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highlight w:val="none"/>
                <w:lang w:val="en-US" w:eastAsia="zh-CN"/>
              </w:rPr>
              <w:t>6</w:t>
            </w:r>
          </w:p>
        </w:tc>
        <w:tc>
          <w:tcPr>
            <w:tcW w:w="2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8"/>
                <w:szCs w:val="28"/>
              </w:rPr>
            </w:pPr>
          </w:p>
        </w:tc>
      </w:tr>
    </w:tbl>
    <w:p>
      <w:pPr>
        <w:sectPr>
          <w:pgSz w:w="16838" w:h="11906" w:orient="landscape"/>
          <w:pgMar w:top="1797" w:right="1440" w:bottom="1797" w:left="1440" w:header="851" w:footer="992" w:gutter="0"/>
          <w:cols w:space="425" w:num="1"/>
          <w:docGrid w:type="linesAndChars" w:linePitch="312" w:charSpace="0"/>
        </w:sectPr>
      </w:pPr>
    </w:p>
    <w:tbl>
      <w:tblPr>
        <w:tblStyle w:val="7"/>
        <w:tblW w:w="13531" w:type="dxa"/>
        <w:tblInd w:w="88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"/>
        <w:gridCol w:w="1205"/>
        <w:gridCol w:w="368"/>
        <w:gridCol w:w="2416"/>
        <w:gridCol w:w="148"/>
        <w:gridCol w:w="1037"/>
        <w:gridCol w:w="1140"/>
        <w:gridCol w:w="193"/>
        <w:gridCol w:w="3937"/>
        <w:gridCol w:w="26"/>
        <w:gridCol w:w="3019"/>
        <w:gridCol w:w="32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0" w:type="dxa"/>
          <w:trHeight w:val="280" w:hRule="atLeast"/>
        </w:trPr>
        <w:tc>
          <w:tcPr>
            <w:tcW w:w="15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附件</w:t>
            </w:r>
            <w:r>
              <w:rPr>
                <w:rFonts w:ascii="宋体" w:hAnsi="宋体" w:eastAsia="宋体" w:cs="宋体"/>
                <w:color w:val="000000"/>
                <w:kern w:val="0"/>
                <w:sz w:val="22"/>
                <w:lang w:bidi="ar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：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ascii="宋体" w:hAnsi="宋体" w:eastAsia="宋体" w:cs="宋体"/>
                <w:color w:val="000000"/>
                <w:sz w:val="22"/>
              </w:rPr>
            </w:pPr>
          </w:p>
        </w:tc>
        <w:tc>
          <w:tcPr>
            <w:tcW w:w="232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ascii="宋体" w:hAnsi="宋体" w:eastAsia="宋体" w:cs="宋体"/>
                <w:color w:val="000000"/>
                <w:sz w:val="22"/>
              </w:rPr>
            </w:pPr>
          </w:p>
        </w:tc>
        <w:tc>
          <w:tcPr>
            <w:tcW w:w="41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ascii="宋体" w:hAnsi="宋体" w:eastAsia="宋体" w:cs="宋体"/>
                <w:color w:val="000000"/>
                <w:sz w:val="22"/>
              </w:rPr>
            </w:pPr>
          </w:p>
        </w:tc>
        <w:tc>
          <w:tcPr>
            <w:tcW w:w="307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ascii="宋体" w:hAnsi="宋体" w:eastAsia="宋体" w:cs="宋体"/>
                <w:color w:val="000000"/>
                <w:sz w:val="22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2" w:type="dxa"/>
          <w:trHeight w:val="520" w:hRule="atLeast"/>
        </w:trPr>
        <w:tc>
          <w:tcPr>
            <w:tcW w:w="13499" w:type="dxa"/>
            <w:gridSpan w:val="11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2023-2024学年第二学期本科生转专业工作日程安排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2" w:type="dxa"/>
          <w:trHeight w:val="352" w:hRule="atLeast"/>
        </w:trPr>
        <w:tc>
          <w:tcPr>
            <w:tcW w:w="1215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时间</w:t>
            </w:r>
          </w:p>
        </w:tc>
        <w:tc>
          <w:tcPr>
            <w:tcW w:w="12284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工作安排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2" w:type="dxa"/>
          <w:trHeight w:val="680" w:hRule="atLeast"/>
        </w:trPr>
        <w:tc>
          <w:tcPr>
            <w:tcW w:w="1215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93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教务处</w:t>
            </w:r>
          </w:p>
        </w:tc>
        <w:tc>
          <w:tcPr>
            <w:tcW w:w="10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教务处（招办）</w:t>
            </w:r>
          </w:p>
        </w:tc>
        <w:tc>
          <w:tcPr>
            <w:tcW w:w="133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学生处</w:t>
            </w:r>
          </w:p>
        </w:tc>
        <w:tc>
          <w:tcPr>
            <w:tcW w:w="396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各学院</w:t>
            </w:r>
          </w:p>
        </w:tc>
        <w:tc>
          <w:tcPr>
            <w:tcW w:w="3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申请转专业学生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2" w:type="dxa"/>
          <w:trHeight w:val="680" w:hRule="atLeast"/>
        </w:trPr>
        <w:tc>
          <w:tcPr>
            <w:tcW w:w="121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2月25日前</w:t>
            </w:r>
          </w:p>
        </w:tc>
        <w:tc>
          <w:tcPr>
            <w:tcW w:w="293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审核各学院转专业工作方案</w:t>
            </w:r>
          </w:p>
        </w:tc>
        <w:tc>
          <w:tcPr>
            <w:tcW w:w="10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--</w:t>
            </w:r>
          </w:p>
        </w:tc>
        <w:tc>
          <w:tcPr>
            <w:tcW w:w="133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--</w:t>
            </w:r>
          </w:p>
        </w:tc>
        <w:tc>
          <w:tcPr>
            <w:tcW w:w="396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制定学院转专业工作方案，并于2月22日上午11点前报教务处</w:t>
            </w:r>
          </w:p>
        </w:tc>
        <w:tc>
          <w:tcPr>
            <w:tcW w:w="3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2" w:type="dxa"/>
          <w:trHeight w:val="1360" w:hRule="atLeast"/>
        </w:trPr>
        <w:tc>
          <w:tcPr>
            <w:tcW w:w="121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2月25日</w:t>
            </w:r>
          </w:p>
        </w:tc>
        <w:tc>
          <w:tcPr>
            <w:tcW w:w="293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--</w:t>
            </w:r>
          </w:p>
        </w:tc>
        <w:tc>
          <w:tcPr>
            <w:tcW w:w="10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--</w:t>
            </w:r>
          </w:p>
        </w:tc>
        <w:tc>
          <w:tcPr>
            <w:tcW w:w="133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--</w:t>
            </w:r>
          </w:p>
        </w:tc>
        <w:tc>
          <w:tcPr>
            <w:tcW w:w="396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1.在学院网站公布学院转专业工作方案</w:t>
            </w:r>
            <w:r>
              <w:rPr>
                <w:rFonts w:hint="default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（含申请转入学生电子成绩单提交的途径、时间等安排）</w:t>
            </w: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及各专业接收人数</w:t>
            </w: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2.在教务系统完成学院接收转专业有关信息设置</w:t>
            </w:r>
          </w:p>
        </w:tc>
        <w:tc>
          <w:tcPr>
            <w:tcW w:w="3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</w:t>
            </w:r>
            <w:r>
              <w:rPr>
                <w:rFonts w:hint="default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确保完成学籍注册</w:t>
            </w: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2.在拟转入专业所在学院网站查看工作方案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2" w:type="dxa"/>
          <w:trHeight w:val="1020" w:hRule="atLeast"/>
        </w:trPr>
        <w:tc>
          <w:tcPr>
            <w:tcW w:w="121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2月26-27日</w:t>
            </w:r>
          </w:p>
        </w:tc>
        <w:tc>
          <w:tcPr>
            <w:tcW w:w="293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--</w:t>
            </w:r>
          </w:p>
        </w:tc>
        <w:tc>
          <w:tcPr>
            <w:tcW w:w="10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--</w:t>
            </w:r>
          </w:p>
        </w:tc>
        <w:tc>
          <w:tcPr>
            <w:tcW w:w="133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--</w:t>
            </w:r>
          </w:p>
        </w:tc>
        <w:tc>
          <w:tcPr>
            <w:tcW w:w="396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面向学生进行转专业有关规则说明和咨询介绍</w:t>
            </w:r>
          </w:p>
        </w:tc>
        <w:tc>
          <w:tcPr>
            <w:tcW w:w="3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2月27日24:00前</w:t>
            </w: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，在本人教务系统填写并提交转专业申请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2" w:type="dxa"/>
          <w:trHeight w:val="1020" w:hRule="atLeast"/>
        </w:trPr>
        <w:tc>
          <w:tcPr>
            <w:tcW w:w="121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2月28日</w:t>
            </w:r>
          </w:p>
        </w:tc>
        <w:tc>
          <w:tcPr>
            <w:tcW w:w="293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--</w:t>
            </w:r>
          </w:p>
        </w:tc>
        <w:tc>
          <w:tcPr>
            <w:tcW w:w="10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--</w:t>
            </w:r>
          </w:p>
        </w:tc>
        <w:tc>
          <w:tcPr>
            <w:tcW w:w="133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--</w:t>
            </w:r>
          </w:p>
        </w:tc>
        <w:tc>
          <w:tcPr>
            <w:tcW w:w="396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2月28日</w:t>
            </w:r>
            <w:r>
              <w:rPr>
                <w:rFonts w:hint="default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上午11点前</w:t>
            </w: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，在教务系统完成学生转出审核，并将学院转出审核合格学生的信息汇总表交教务处</w:t>
            </w:r>
          </w:p>
        </w:tc>
        <w:tc>
          <w:tcPr>
            <w:tcW w:w="301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根据申请转入学院工作安排提交</w:t>
            </w:r>
            <w:r>
              <w:rPr>
                <w:rFonts w:hint="default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电子成绩单</w:t>
            </w: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（可以通过可信成绩单系统获取）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2" w:type="dxa"/>
          <w:trHeight w:val="1020" w:hRule="atLeast"/>
        </w:trPr>
        <w:tc>
          <w:tcPr>
            <w:tcW w:w="121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2月28-29日</w:t>
            </w:r>
          </w:p>
        </w:tc>
        <w:tc>
          <w:tcPr>
            <w:tcW w:w="293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审核学生学籍状态等</w:t>
            </w:r>
          </w:p>
        </w:tc>
        <w:tc>
          <w:tcPr>
            <w:tcW w:w="10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审核国家特殊招生形式等情况</w:t>
            </w:r>
          </w:p>
        </w:tc>
        <w:tc>
          <w:tcPr>
            <w:tcW w:w="133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审核学生处分情况</w:t>
            </w:r>
          </w:p>
        </w:tc>
        <w:tc>
          <w:tcPr>
            <w:tcW w:w="396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--</w:t>
            </w:r>
          </w:p>
        </w:tc>
        <w:tc>
          <w:tcPr>
            <w:tcW w:w="301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default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2" w:type="dxa"/>
          <w:trHeight w:val="1360" w:hRule="atLeast"/>
        </w:trPr>
        <w:tc>
          <w:tcPr>
            <w:tcW w:w="121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3月1-4日</w:t>
            </w:r>
          </w:p>
        </w:tc>
        <w:tc>
          <w:tcPr>
            <w:tcW w:w="293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--</w:t>
            </w:r>
          </w:p>
        </w:tc>
        <w:tc>
          <w:tcPr>
            <w:tcW w:w="10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--</w:t>
            </w:r>
          </w:p>
        </w:tc>
        <w:tc>
          <w:tcPr>
            <w:tcW w:w="133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--</w:t>
            </w:r>
          </w:p>
        </w:tc>
        <w:tc>
          <w:tcPr>
            <w:tcW w:w="396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1.学院对申请转入学生进行审核、考核；</w:t>
            </w: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2.3月4日</w:t>
            </w:r>
            <w:r>
              <w:rPr>
                <w:rFonts w:hint="default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上午9点前</w:t>
            </w: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，在教务系统提交考核情况和拟录取结论，并将经院长签批的拟录取结论信息汇总表报教务处</w:t>
            </w:r>
          </w:p>
        </w:tc>
        <w:tc>
          <w:tcPr>
            <w:tcW w:w="3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1.根据申请转入学院工作安排提交电子成绩单</w:t>
            </w: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2.参加申请转入学院的考核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2" w:type="dxa"/>
          <w:trHeight w:val="680" w:hRule="atLeast"/>
        </w:trPr>
        <w:tc>
          <w:tcPr>
            <w:tcW w:w="121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3月4日</w:t>
            </w:r>
          </w:p>
        </w:tc>
        <w:tc>
          <w:tcPr>
            <w:tcW w:w="293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汇总拟接收转入学生名单并进行复核</w:t>
            </w:r>
          </w:p>
        </w:tc>
        <w:tc>
          <w:tcPr>
            <w:tcW w:w="10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--</w:t>
            </w:r>
          </w:p>
        </w:tc>
        <w:tc>
          <w:tcPr>
            <w:tcW w:w="133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--</w:t>
            </w:r>
          </w:p>
        </w:tc>
        <w:tc>
          <w:tcPr>
            <w:tcW w:w="396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--</w:t>
            </w:r>
          </w:p>
        </w:tc>
        <w:tc>
          <w:tcPr>
            <w:tcW w:w="3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--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2" w:type="dxa"/>
          <w:trHeight w:val="680" w:hRule="atLeast"/>
        </w:trPr>
        <w:tc>
          <w:tcPr>
            <w:tcW w:w="121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3月4-6日</w:t>
            </w:r>
          </w:p>
        </w:tc>
        <w:tc>
          <w:tcPr>
            <w:tcW w:w="293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在教务处网站公示拟录取转专业学生名单</w:t>
            </w:r>
          </w:p>
        </w:tc>
        <w:tc>
          <w:tcPr>
            <w:tcW w:w="10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--</w:t>
            </w:r>
          </w:p>
        </w:tc>
        <w:tc>
          <w:tcPr>
            <w:tcW w:w="133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--</w:t>
            </w:r>
          </w:p>
        </w:tc>
        <w:tc>
          <w:tcPr>
            <w:tcW w:w="396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学院教学办公室通知学生</w:t>
            </w:r>
          </w:p>
        </w:tc>
        <w:tc>
          <w:tcPr>
            <w:tcW w:w="3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--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2" w:type="dxa"/>
          <w:trHeight w:val="1360" w:hRule="atLeast"/>
        </w:trPr>
        <w:tc>
          <w:tcPr>
            <w:tcW w:w="121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3月7日</w:t>
            </w:r>
          </w:p>
        </w:tc>
        <w:tc>
          <w:tcPr>
            <w:tcW w:w="293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1.公示无异议后的名单报学校转专业工作领导小组审议</w:t>
            </w: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2.在教务系统完成转专业录取结果审核操作</w:t>
            </w:r>
          </w:p>
        </w:tc>
        <w:tc>
          <w:tcPr>
            <w:tcW w:w="10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--</w:t>
            </w:r>
          </w:p>
        </w:tc>
        <w:tc>
          <w:tcPr>
            <w:tcW w:w="133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--</w:t>
            </w:r>
          </w:p>
        </w:tc>
        <w:tc>
          <w:tcPr>
            <w:tcW w:w="396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--</w:t>
            </w:r>
          </w:p>
        </w:tc>
        <w:tc>
          <w:tcPr>
            <w:tcW w:w="3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--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2" w:type="dxa"/>
          <w:trHeight w:val="680" w:hRule="atLeast"/>
        </w:trPr>
        <w:tc>
          <w:tcPr>
            <w:tcW w:w="121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3月8日</w:t>
            </w:r>
          </w:p>
        </w:tc>
        <w:tc>
          <w:tcPr>
            <w:tcW w:w="293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--</w:t>
            </w:r>
          </w:p>
        </w:tc>
        <w:tc>
          <w:tcPr>
            <w:tcW w:w="10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--</w:t>
            </w:r>
          </w:p>
        </w:tc>
        <w:tc>
          <w:tcPr>
            <w:tcW w:w="133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--</w:t>
            </w:r>
          </w:p>
        </w:tc>
        <w:tc>
          <w:tcPr>
            <w:tcW w:w="396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--</w:t>
            </w:r>
          </w:p>
        </w:tc>
        <w:tc>
          <w:tcPr>
            <w:tcW w:w="3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3月8日24:00前</w:t>
            </w: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，在本人教务系统确认转专业结果。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2" w:type="dxa"/>
          <w:trHeight w:val="336" w:hRule="atLeast"/>
        </w:trPr>
        <w:tc>
          <w:tcPr>
            <w:tcW w:w="13499" w:type="dxa"/>
            <w:gridSpan w:val="11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仿宋" w:hAnsi="仿宋" w:eastAsia="仿宋" w:cs="仿宋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说明：</w:t>
            </w: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1.获批转专业的学生须于2024年3月8日24:00前登陆本人教务系统进行确认操作。逾期不操作视为自动放弃。</w:t>
            </w: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    2.根据学校转专业管理办法，获批的转专业学生须在规定时间在教务处办理相关学籍异动手续（即：在本人教务系统进行确认操作）。学籍异动手续一经办理，不得退回原专业。</w:t>
            </w:r>
          </w:p>
        </w:tc>
      </w:tr>
    </w:tbl>
    <w:p>
      <w:pPr>
        <w:sectPr>
          <w:pgSz w:w="16838" w:h="11906" w:orient="landscape"/>
          <w:pgMar w:top="1797" w:right="1440" w:bottom="1797" w:left="1440" w:header="851" w:footer="992" w:gutter="0"/>
          <w:cols w:space="425" w:num="1"/>
          <w:docGrid w:type="linesAndChars" w:linePitch="312" w:charSpace="0"/>
        </w:sectPr>
      </w:pPr>
    </w:p>
    <w:p>
      <w:r>
        <w:rPr>
          <w:rFonts w:hint="eastAsia"/>
        </w:rPr>
        <w:t>附件</w:t>
      </w:r>
      <w:r>
        <w:t>3</w:t>
      </w:r>
      <w:r>
        <w:rPr>
          <w:rFonts w:hint="eastAsia"/>
        </w:rPr>
        <w:t>：</w:t>
      </w:r>
    </w:p>
    <w:p>
      <w:pPr>
        <w:spacing w:after="156" w:afterLines="50" w:line="480" w:lineRule="auto"/>
        <w:jc w:val="center"/>
        <w:rPr>
          <w:rFonts w:ascii="仿宋_GB2312" w:eastAsia="仿宋_GB2312"/>
          <w:b/>
          <w:sz w:val="32"/>
          <w:szCs w:val="32"/>
        </w:rPr>
      </w:pPr>
      <w:r>
        <w:rPr>
          <w:rFonts w:hint="eastAsia" w:ascii="仿宋_GB2312" w:eastAsia="仿宋_GB2312"/>
          <w:b/>
          <w:sz w:val="32"/>
          <w:szCs w:val="32"/>
        </w:rPr>
        <w:t>教务系统学生端转专业申请和确认操作说明</w:t>
      </w:r>
    </w:p>
    <w:p>
      <w:pPr>
        <w:rPr>
          <w:rFonts w:ascii="仿宋_GB2312" w:eastAsia="仿宋_GB2312"/>
          <w:b/>
          <w:sz w:val="28"/>
          <w:szCs w:val="28"/>
        </w:rPr>
      </w:pPr>
      <w:r>
        <w:rPr>
          <w:rFonts w:ascii="仿宋_GB2312" w:eastAsia="仿宋_GB2312"/>
          <w:b/>
          <w:sz w:val="28"/>
          <w:szCs w:val="28"/>
        </w:rPr>
        <w:t>一</w:t>
      </w:r>
      <w:r>
        <w:rPr>
          <w:rFonts w:hint="eastAsia" w:ascii="仿宋_GB2312" w:eastAsia="仿宋_GB2312"/>
          <w:b/>
          <w:sz w:val="28"/>
          <w:szCs w:val="28"/>
        </w:rPr>
        <w:t>、</w:t>
      </w:r>
      <w:r>
        <w:rPr>
          <w:rFonts w:ascii="仿宋_GB2312" w:eastAsia="仿宋_GB2312"/>
          <w:b/>
          <w:sz w:val="28"/>
          <w:szCs w:val="28"/>
        </w:rPr>
        <w:t>转专业申请</w:t>
      </w:r>
    </w:p>
    <w:p>
      <w:pPr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1</w:t>
      </w:r>
      <w:r>
        <w:rPr>
          <w:rFonts w:ascii="仿宋_GB2312" w:eastAsia="仿宋_GB2312"/>
          <w:sz w:val="28"/>
          <w:szCs w:val="28"/>
        </w:rPr>
        <w:t>.</w:t>
      </w:r>
      <w:r>
        <w:rPr>
          <w:rFonts w:hint="eastAsia" w:ascii="仿宋_GB2312" w:eastAsia="仿宋_GB2312"/>
          <w:sz w:val="28"/>
          <w:szCs w:val="28"/>
        </w:rPr>
        <w:t>使用电脑登陆教务系统首页，点击“学籍成绩”栏目，选择“转专业申请”进入查询；</w:t>
      </w:r>
    </w:p>
    <w:p>
      <w:pPr>
        <w:jc w:val="left"/>
        <w:rPr>
          <w:rFonts w:ascii="仿宋_GB2312" w:eastAsia="仿宋_GB2312"/>
          <w:sz w:val="28"/>
          <w:szCs w:val="28"/>
        </w:rPr>
      </w:pPr>
      <w:r>
        <w:drawing>
          <wp:inline distT="0" distB="0" distL="0" distR="0">
            <wp:extent cx="5142865" cy="2537460"/>
            <wp:effectExtent l="0" t="0" r="13335" b="254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>
                      <a:picLocks noChangeAspect="1"/>
                    </pic:cNvPicPr>
                  </pic:nvPicPr>
                  <pic:blipFill>
                    <a:blip r:embed="rId4"/>
                    <a:srcRect t="4164"/>
                    <a:stretch>
                      <a:fillRect/>
                    </a:stretch>
                  </pic:blipFill>
                  <pic:spPr>
                    <a:xfrm>
                      <a:off x="0" y="0"/>
                      <a:ext cx="5194511" cy="2562942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jc w:val="left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2</w:t>
      </w:r>
      <w:r>
        <w:rPr>
          <w:rFonts w:ascii="仿宋_GB2312" w:eastAsia="仿宋_GB2312"/>
          <w:sz w:val="28"/>
          <w:szCs w:val="28"/>
        </w:rPr>
        <w:t>.点击</w:t>
      </w:r>
      <w:r>
        <w:rPr>
          <w:rFonts w:hint="eastAsia" w:ascii="仿宋_GB2312" w:eastAsia="仿宋_GB2312"/>
          <w:sz w:val="28"/>
          <w:szCs w:val="28"/>
        </w:rPr>
        <w:t>“申请”，在弹窗内通过复选框选填申请转专业信息；</w:t>
      </w:r>
    </w:p>
    <w:p>
      <w:pPr>
        <w:jc w:val="left"/>
        <w:rPr>
          <w:rFonts w:ascii="仿宋_GB2312" w:eastAsia="仿宋_GB2312"/>
          <w:sz w:val="28"/>
          <w:szCs w:val="28"/>
        </w:rPr>
      </w:pPr>
      <w:r>
        <w:drawing>
          <wp:inline distT="0" distB="0" distL="0" distR="0">
            <wp:extent cx="5156200" cy="3565525"/>
            <wp:effectExtent l="0" t="0" r="0" b="1587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5"/>
                    <a:srcRect b="7526"/>
                    <a:stretch>
                      <a:fillRect/>
                    </a:stretch>
                  </pic:blipFill>
                  <pic:spPr>
                    <a:xfrm>
                      <a:off x="0" y="0"/>
                      <a:ext cx="5158700" cy="3565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left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3</w:t>
      </w:r>
      <w:r>
        <w:rPr>
          <w:rFonts w:ascii="仿宋_GB2312" w:eastAsia="仿宋_GB2312"/>
          <w:sz w:val="28"/>
          <w:szCs w:val="28"/>
        </w:rPr>
        <w:t>.点击</w:t>
      </w:r>
      <w:r>
        <w:rPr>
          <w:rFonts w:hint="eastAsia" w:ascii="仿宋_GB2312" w:eastAsia="仿宋_GB2312"/>
          <w:sz w:val="28"/>
          <w:szCs w:val="28"/>
        </w:rPr>
        <w:t>“选择”按钮，在弹窗内选中申请转入学院、申请转入专业、申请转入年级；</w:t>
      </w:r>
    </w:p>
    <w:p>
      <w:pPr>
        <w:jc w:val="left"/>
        <w:rPr>
          <w:rFonts w:ascii="仿宋_GB2312" w:eastAsia="仿宋_GB2312"/>
          <w:sz w:val="28"/>
          <w:szCs w:val="28"/>
        </w:rPr>
      </w:pPr>
      <w:r>
        <w:drawing>
          <wp:inline distT="0" distB="0" distL="0" distR="0">
            <wp:extent cx="5498465" cy="2972435"/>
            <wp:effectExtent l="0" t="0" r="13335" b="24765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/>
                    <pic:cNvPicPr>
                      <a:picLocks noChangeAspect="1"/>
                    </pic:cNvPicPr>
                  </pic:nvPicPr>
                  <pic:blipFill>
                    <a:blip r:embed="rId6"/>
                    <a:srcRect b="9051"/>
                    <a:stretch>
                      <a:fillRect/>
                    </a:stretch>
                  </pic:blipFill>
                  <pic:spPr>
                    <a:xfrm>
                      <a:off x="0" y="0"/>
                      <a:ext cx="5498465" cy="29724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left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/>
          <w:sz w:val="28"/>
          <w:szCs w:val="28"/>
        </w:rPr>
        <w:t>4.通过复选框</w:t>
      </w:r>
      <w:r>
        <w:rPr>
          <w:rFonts w:hint="eastAsia" w:ascii="仿宋_GB2312" w:eastAsia="仿宋_GB2312"/>
          <w:sz w:val="28"/>
          <w:szCs w:val="28"/>
        </w:rPr>
        <w:t>选填高考科类：文科、理科、综合改革、其他（选“其他”会自动弹出填写框）；</w:t>
      </w:r>
      <w:r>
        <w:rPr>
          <w:rFonts w:ascii="仿宋_GB2312" w:eastAsia="仿宋_GB2312"/>
          <w:sz w:val="28"/>
          <w:szCs w:val="28"/>
        </w:rPr>
        <w:t>填写手机号码</w:t>
      </w:r>
      <w:r>
        <w:rPr>
          <w:rFonts w:hint="eastAsia" w:ascii="仿宋_GB2312" w:eastAsia="仿宋_GB2312"/>
          <w:sz w:val="28"/>
          <w:szCs w:val="28"/>
        </w:rPr>
        <w:t>、</w:t>
      </w:r>
      <w:r>
        <w:rPr>
          <w:rFonts w:ascii="仿宋_GB2312" w:eastAsia="仿宋_GB2312"/>
          <w:sz w:val="28"/>
          <w:szCs w:val="28"/>
        </w:rPr>
        <w:t>专长</w:t>
      </w:r>
      <w:r>
        <w:rPr>
          <w:rFonts w:hint="eastAsia" w:ascii="仿宋_GB2312" w:eastAsia="仿宋_GB2312"/>
          <w:sz w:val="28"/>
          <w:szCs w:val="28"/>
        </w:rPr>
        <w:t>、</w:t>
      </w:r>
      <w:r>
        <w:rPr>
          <w:rFonts w:ascii="仿宋_GB2312" w:eastAsia="仿宋_GB2312"/>
          <w:sz w:val="28"/>
          <w:szCs w:val="28"/>
        </w:rPr>
        <w:t>申请原因</w:t>
      </w:r>
      <w:r>
        <w:rPr>
          <w:rFonts w:hint="eastAsia" w:ascii="仿宋_GB2312" w:eastAsia="仿宋_GB2312"/>
          <w:sz w:val="28"/>
          <w:szCs w:val="28"/>
        </w:rPr>
        <w:t>；</w:t>
      </w:r>
    </w:p>
    <w:p>
      <w:pPr>
        <w:jc w:val="left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分别勾选“提交”按钮上方的确认项，确认相关信息；</w:t>
      </w:r>
    </w:p>
    <w:p>
      <w:pPr>
        <w:jc w:val="center"/>
        <w:rPr>
          <w:rFonts w:ascii="仿宋_GB2312" w:eastAsia="仿宋_GB2312"/>
          <w:sz w:val="28"/>
          <w:szCs w:val="28"/>
        </w:rPr>
      </w:pPr>
      <w:r>
        <w:drawing>
          <wp:inline distT="0" distB="0" distL="114300" distR="114300">
            <wp:extent cx="4175760" cy="4695190"/>
            <wp:effectExtent l="0" t="0" r="15240" b="3810"/>
            <wp:docPr id="10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5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175760" cy="4695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jc w:val="left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5</w:t>
      </w:r>
      <w:r>
        <w:rPr>
          <w:rFonts w:ascii="仿宋_GB2312" w:eastAsia="仿宋_GB2312"/>
          <w:sz w:val="28"/>
          <w:szCs w:val="28"/>
        </w:rPr>
        <w:t>.填写完成后点击</w:t>
      </w:r>
      <w:r>
        <w:rPr>
          <w:rFonts w:hint="eastAsia" w:ascii="仿宋_GB2312" w:eastAsia="仿宋_GB2312"/>
          <w:sz w:val="28"/>
          <w:szCs w:val="28"/>
        </w:rPr>
        <w:t>“提交”按钮，会弹出对话框提醒确认是否提交；点击“确定”弹出对话框提示已提交送审。</w:t>
      </w:r>
    </w:p>
    <w:p>
      <w:pPr>
        <w:jc w:val="left"/>
        <w:rPr>
          <w:rFonts w:ascii="仿宋_GB2312" w:eastAsia="仿宋_GB2312"/>
          <w:sz w:val="28"/>
          <w:szCs w:val="28"/>
        </w:rPr>
      </w:pPr>
      <w:r>
        <w:drawing>
          <wp:inline distT="0" distB="0" distL="0" distR="0">
            <wp:extent cx="5182235" cy="3295015"/>
            <wp:effectExtent l="0" t="0" r="24765" b="6985"/>
            <wp:docPr id="15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5"/>
                    <pic:cNvPicPr>
                      <a:picLocks noChangeAspect="1"/>
                    </pic:cNvPicPr>
                  </pic:nvPicPr>
                  <pic:blipFill>
                    <a:blip r:embed="rId8"/>
                    <a:srcRect b="20645"/>
                    <a:stretch>
                      <a:fillRect/>
                    </a:stretch>
                  </pic:blipFill>
                  <pic:spPr>
                    <a:xfrm>
                      <a:off x="0" y="0"/>
                      <a:ext cx="5186721" cy="3297760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jc w:val="left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6</w:t>
      </w:r>
      <w:r>
        <w:rPr>
          <w:rFonts w:ascii="仿宋_GB2312" w:eastAsia="仿宋_GB2312"/>
          <w:sz w:val="28"/>
          <w:szCs w:val="28"/>
        </w:rPr>
        <w:t>.确认提交送审后的界面</w:t>
      </w:r>
      <w:r>
        <w:rPr>
          <w:rFonts w:hint="eastAsia" w:ascii="仿宋_GB2312" w:eastAsia="仿宋_GB2312"/>
          <w:sz w:val="28"/>
          <w:szCs w:val="28"/>
        </w:rPr>
        <w:t>：</w:t>
      </w:r>
    </w:p>
    <w:p>
      <w:pPr>
        <w:jc w:val="left"/>
        <w:rPr>
          <w:rFonts w:ascii="仿宋_GB2312" w:eastAsia="仿宋_GB2312"/>
          <w:sz w:val="28"/>
          <w:szCs w:val="28"/>
        </w:rPr>
      </w:pPr>
      <w:r>
        <w:drawing>
          <wp:inline distT="0" distB="0" distL="0" distR="0">
            <wp:extent cx="5184140" cy="2377440"/>
            <wp:effectExtent l="0" t="0" r="22860" b="10160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189861" cy="23799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widowControl/>
        <w:jc w:val="left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/>
          <w:sz w:val="28"/>
          <w:szCs w:val="28"/>
        </w:rPr>
        <w:br w:type="page"/>
      </w:r>
    </w:p>
    <w:p>
      <w:pPr>
        <w:jc w:val="left"/>
        <w:rPr>
          <w:rFonts w:ascii="仿宋_GB2312" w:eastAsia="仿宋_GB2312"/>
          <w:b/>
          <w:sz w:val="28"/>
          <w:szCs w:val="28"/>
        </w:rPr>
      </w:pPr>
      <w:r>
        <w:rPr>
          <w:rFonts w:hint="eastAsia" w:ascii="仿宋_GB2312" w:eastAsia="仿宋_GB2312"/>
          <w:b/>
          <w:sz w:val="28"/>
          <w:szCs w:val="28"/>
        </w:rPr>
        <w:t>二、转专业确认</w:t>
      </w:r>
    </w:p>
    <w:p>
      <w:pPr>
        <w:jc w:val="left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/>
          <w:sz w:val="28"/>
          <w:szCs w:val="28"/>
        </w:rPr>
        <w:t>7.学生在规定时间内确认同意转入</w:t>
      </w:r>
      <w:r>
        <w:rPr>
          <w:rFonts w:hint="eastAsia" w:ascii="仿宋_GB2312" w:eastAsia="仿宋_GB2312"/>
          <w:sz w:val="28"/>
          <w:szCs w:val="28"/>
        </w:rPr>
        <w:t>，即时完成学籍异动。进入转专业申请界面，在操作选项下点击“确认”，在弹出的对话框中选择“同意”或“不同意”确认。若学生在规定时间内未操作，默认为本人不同意转入。</w:t>
      </w:r>
    </w:p>
    <w:p>
      <w:pPr>
        <w:jc w:val="left"/>
        <w:rPr>
          <w:rFonts w:ascii="仿宋_GB2312" w:eastAsia="仿宋_GB2312"/>
          <w:sz w:val="28"/>
          <w:szCs w:val="28"/>
        </w:rPr>
      </w:pPr>
      <w:r>
        <w:drawing>
          <wp:inline distT="0" distB="0" distL="0" distR="0">
            <wp:extent cx="5274310" cy="3829050"/>
            <wp:effectExtent l="0" t="0" r="8890" b="6350"/>
            <wp:docPr id="19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19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829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left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/>
          <w:sz w:val="28"/>
          <w:szCs w:val="28"/>
        </w:rPr>
        <w:t>8.点击</w:t>
      </w:r>
      <w:r>
        <w:rPr>
          <w:rFonts w:hint="eastAsia" w:ascii="仿宋_GB2312" w:eastAsia="仿宋_GB2312"/>
          <w:sz w:val="28"/>
          <w:szCs w:val="28"/>
        </w:rPr>
        <w:t>“同意”确认，</w:t>
      </w:r>
      <w:r>
        <w:rPr>
          <w:rFonts w:ascii="仿宋_GB2312" w:eastAsia="仿宋_GB2312"/>
          <w:sz w:val="28"/>
          <w:szCs w:val="28"/>
        </w:rPr>
        <w:t>转专业成功</w:t>
      </w:r>
      <w:r>
        <w:rPr>
          <w:rFonts w:hint="eastAsia" w:ascii="仿宋_GB2312" w:eastAsia="仿宋_GB2312"/>
          <w:sz w:val="28"/>
          <w:szCs w:val="28"/>
        </w:rPr>
        <w:t>，</w:t>
      </w:r>
      <w:r>
        <w:rPr>
          <w:rFonts w:ascii="仿宋_GB2312" w:eastAsia="仿宋_GB2312"/>
          <w:sz w:val="28"/>
          <w:szCs w:val="28"/>
        </w:rPr>
        <w:t>流程结束</w:t>
      </w:r>
      <w:r>
        <w:rPr>
          <w:rFonts w:hint="eastAsia" w:ascii="仿宋_GB2312" w:eastAsia="仿宋_GB2312"/>
          <w:sz w:val="28"/>
          <w:szCs w:val="28"/>
        </w:rPr>
        <w:t>后的界面</w:t>
      </w:r>
      <w:r>
        <w:rPr>
          <w:rFonts w:ascii="仿宋_GB2312" w:eastAsia="仿宋_GB2312"/>
          <w:sz w:val="28"/>
          <w:szCs w:val="28"/>
        </w:rPr>
        <w:t>:</w:t>
      </w:r>
    </w:p>
    <w:p>
      <w:pPr>
        <w:jc w:val="left"/>
        <w:rPr>
          <w:rFonts w:ascii="仿宋_GB2312" w:eastAsia="仿宋_GB2312"/>
          <w:sz w:val="28"/>
          <w:szCs w:val="28"/>
        </w:rPr>
      </w:pPr>
      <w:r>
        <w:drawing>
          <wp:inline distT="0" distB="0" distL="0" distR="0">
            <wp:extent cx="5320030" cy="2186940"/>
            <wp:effectExtent l="0" t="0" r="13970" b="22860"/>
            <wp:docPr id="18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18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322921" cy="21878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left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9</w:t>
      </w:r>
      <w:r>
        <w:rPr>
          <w:rFonts w:ascii="仿宋_GB2312" w:eastAsia="仿宋_GB2312"/>
          <w:sz w:val="28"/>
          <w:szCs w:val="28"/>
        </w:rPr>
        <w:t>.点击</w:t>
      </w:r>
      <w:r>
        <w:rPr>
          <w:rFonts w:hint="eastAsia" w:ascii="仿宋_GB2312" w:eastAsia="仿宋_GB2312"/>
          <w:sz w:val="28"/>
          <w:szCs w:val="28"/>
        </w:rPr>
        <w:t>“</w:t>
      </w:r>
      <w:r>
        <w:rPr>
          <w:rFonts w:ascii="仿宋_GB2312" w:eastAsia="仿宋_GB2312"/>
          <w:sz w:val="28"/>
          <w:szCs w:val="28"/>
        </w:rPr>
        <w:t>不同意</w:t>
      </w:r>
      <w:r>
        <w:rPr>
          <w:rFonts w:hint="eastAsia" w:ascii="仿宋_GB2312" w:eastAsia="仿宋_GB2312"/>
          <w:sz w:val="28"/>
          <w:szCs w:val="28"/>
        </w:rPr>
        <w:t>”确认，转专业不成功，流程结束后的界面:</w:t>
      </w:r>
    </w:p>
    <w:p>
      <w:pPr>
        <w:jc w:val="left"/>
        <w:rPr>
          <w:rFonts w:ascii="仿宋_GB2312" w:eastAsia="仿宋_GB2312"/>
          <w:sz w:val="28"/>
          <w:szCs w:val="28"/>
        </w:rPr>
      </w:pPr>
      <w:r>
        <w:drawing>
          <wp:inline distT="0" distB="0" distL="0" distR="0">
            <wp:extent cx="5274310" cy="2418080"/>
            <wp:effectExtent l="0" t="0" r="8890" b="2032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418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left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1</w:t>
      </w:r>
      <w:r>
        <w:rPr>
          <w:rFonts w:ascii="仿宋_GB2312" w:eastAsia="仿宋_GB2312"/>
          <w:sz w:val="28"/>
          <w:szCs w:val="28"/>
        </w:rPr>
        <w:t>0.逾期不操作未确认</w:t>
      </w:r>
      <w:r>
        <w:rPr>
          <w:rFonts w:hint="eastAsia" w:ascii="仿宋_GB2312" w:eastAsia="仿宋_GB2312"/>
          <w:sz w:val="28"/>
          <w:szCs w:val="28"/>
        </w:rPr>
        <w:t>，默认为本人不同意转入。转专业不成功，</w:t>
      </w:r>
      <w:r>
        <w:rPr>
          <w:rFonts w:ascii="仿宋_GB2312" w:eastAsia="仿宋_GB2312"/>
          <w:sz w:val="28"/>
          <w:szCs w:val="28"/>
        </w:rPr>
        <w:t>流程结束后的界面</w:t>
      </w:r>
      <w:r>
        <w:rPr>
          <w:rFonts w:hint="eastAsia" w:ascii="仿宋_GB2312" w:eastAsia="仿宋_GB2312"/>
          <w:sz w:val="28"/>
          <w:szCs w:val="28"/>
        </w:rPr>
        <w:t>：</w:t>
      </w:r>
    </w:p>
    <w:p>
      <w:pPr>
        <w:jc w:val="left"/>
        <w:rPr>
          <w:rFonts w:ascii="仿宋_GB2312" w:eastAsia="仿宋_GB2312"/>
          <w:sz w:val="28"/>
          <w:szCs w:val="28"/>
        </w:rPr>
      </w:pPr>
      <w:r>
        <w:drawing>
          <wp:inline distT="0" distB="0" distL="0" distR="0">
            <wp:extent cx="5274310" cy="2480310"/>
            <wp:effectExtent l="0" t="0" r="8890" b="889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4803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left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1</w:t>
      </w:r>
      <w:r>
        <w:rPr>
          <w:rFonts w:ascii="仿宋_GB2312" w:eastAsia="仿宋_GB2312"/>
          <w:sz w:val="28"/>
          <w:szCs w:val="28"/>
        </w:rPr>
        <w:t>1.</w:t>
      </w:r>
      <w:r>
        <w:rPr>
          <w:rFonts w:hint="eastAsia"/>
        </w:rPr>
        <w:t xml:space="preserve"> </w:t>
      </w:r>
      <w:r>
        <w:rPr>
          <w:rFonts w:hint="eastAsia" w:ascii="仿宋_GB2312" w:eastAsia="仿宋_GB2312"/>
          <w:sz w:val="28"/>
          <w:szCs w:val="28"/>
        </w:rPr>
        <w:t>学生在操作过程中如遇到问题，可致电咨询教务处学籍管理与注册中心。</w:t>
      </w:r>
      <w:r>
        <w:rPr>
          <w:rFonts w:ascii="仿宋_GB2312" w:eastAsia="仿宋_GB2312"/>
          <w:sz w:val="28"/>
          <w:szCs w:val="28"/>
        </w:rPr>
        <w:t>联系电话</w:t>
      </w:r>
      <w:r>
        <w:rPr>
          <w:rFonts w:hint="eastAsia" w:ascii="仿宋_GB2312" w:eastAsia="仿宋_GB2312"/>
          <w:sz w:val="28"/>
          <w:szCs w:val="28"/>
        </w:rPr>
        <w:t>：6</w:t>
      </w:r>
      <w:r>
        <w:rPr>
          <w:rFonts w:ascii="仿宋_GB2312" w:eastAsia="仿宋_GB2312"/>
          <w:sz w:val="28"/>
          <w:szCs w:val="28"/>
        </w:rPr>
        <w:t>2338299</w:t>
      </w:r>
      <w:r>
        <w:rPr>
          <w:rFonts w:hint="eastAsia" w:ascii="仿宋_GB2312" w:eastAsia="仿宋_GB2312"/>
          <w:sz w:val="28"/>
          <w:szCs w:val="28"/>
        </w:rPr>
        <w:t>。</w:t>
      </w:r>
    </w:p>
    <w:p/>
    <w:sectPr>
      <w:pgSz w:w="11906" w:h="16838"/>
      <w:pgMar w:top="1440" w:right="1797" w:bottom="1440" w:left="179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omic Sans MS">
    <w:panose1 w:val="030F0702030302020204"/>
    <w:charset w:val="00"/>
    <w:family w:val="script"/>
    <w:pitch w:val="default"/>
    <w:sig w:usb0="00000287" w:usb1="00000013" w:usb2="00000000" w:usb3="00000000" w:csb0="200000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WNhNmZjY2JlMmMyOTUzNjk1NmRiOTI0MzhlZjBhM2YifQ=="/>
  </w:docVars>
  <w:rsids>
    <w:rsidRoot w:val="00172A27"/>
    <w:rsid w:val="00014432"/>
    <w:rsid w:val="00040DD1"/>
    <w:rsid w:val="0004609D"/>
    <w:rsid w:val="000B099D"/>
    <w:rsid w:val="00172A27"/>
    <w:rsid w:val="00212A90"/>
    <w:rsid w:val="0022242A"/>
    <w:rsid w:val="00224DCB"/>
    <w:rsid w:val="00287DB2"/>
    <w:rsid w:val="003012D6"/>
    <w:rsid w:val="00327451"/>
    <w:rsid w:val="003638A8"/>
    <w:rsid w:val="003B133E"/>
    <w:rsid w:val="003B3437"/>
    <w:rsid w:val="003C530E"/>
    <w:rsid w:val="003C7E59"/>
    <w:rsid w:val="003D6184"/>
    <w:rsid w:val="003D6873"/>
    <w:rsid w:val="003F4CBB"/>
    <w:rsid w:val="003F5C37"/>
    <w:rsid w:val="00422169"/>
    <w:rsid w:val="004603C5"/>
    <w:rsid w:val="004625F0"/>
    <w:rsid w:val="005134EB"/>
    <w:rsid w:val="005C2479"/>
    <w:rsid w:val="005F26B6"/>
    <w:rsid w:val="00604EAF"/>
    <w:rsid w:val="00610A9E"/>
    <w:rsid w:val="006B597A"/>
    <w:rsid w:val="006D5845"/>
    <w:rsid w:val="006D604A"/>
    <w:rsid w:val="006E53B4"/>
    <w:rsid w:val="00750B43"/>
    <w:rsid w:val="007F58EA"/>
    <w:rsid w:val="00807FA9"/>
    <w:rsid w:val="00811FCB"/>
    <w:rsid w:val="008A1B4B"/>
    <w:rsid w:val="00980E89"/>
    <w:rsid w:val="009A7C63"/>
    <w:rsid w:val="009B53AB"/>
    <w:rsid w:val="00A57D27"/>
    <w:rsid w:val="00A71471"/>
    <w:rsid w:val="00B16C67"/>
    <w:rsid w:val="00B57BF8"/>
    <w:rsid w:val="00BA39A3"/>
    <w:rsid w:val="00BD5DB0"/>
    <w:rsid w:val="00C163A9"/>
    <w:rsid w:val="00C271F4"/>
    <w:rsid w:val="00C31BDD"/>
    <w:rsid w:val="00C36AC5"/>
    <w:rsid w:val="00C50984"/>
    <w:rsid w:val="00C61309"/>
    <w:rsid w:val="00C70FDF"/>
    <w:rsid w:val="00C7766F"/>
    <w:rsid w:val="00D0277A"/>
    <w:rsid w:val="00D05E6D"/>
    <w:rsid w:val="00D354F3"/>
    <w:rsid w:val="00D51403"/>
    <w:rsid w:val="00D93310"/>
    <w:rsid w:val="00DD08EF"/>
    <w:rsid w:val="00E70454"/>
    <w:rsid w:val="00EF43E4"/>
    <w:rsid w:val="00F26593"/>
    <w:rsid w:val="00F81CDC"/>
    <w:rsid w:val="00F82B64"/>
    <w:rsid w:val="00FE35DE"/>
    <w:rsid w:val="00FF1B05"/>
    <w:rsid w:val="08F32B58"/>
    <w:rsid w:val="09737D2A"/>
    <w:rsid w:val="09B62EA8"/>
    <w:rsid w:val="0CDF74EE"/>
    <w:rsid w:val="13A90086"/>
    <w:rsid w:val="14373580"/>
    <w:rsid w:val="182B5BB1"/>
    <w:rsid w:val="1ED8781E"/>
    <w:rsid w:val="1F144DF8"/>
    <w:rsid w:val="2006177F"/>
    <w:rsid w:val="27955EDF"/>
    <w:rsid w:val="27EA0EE4"/>
    <w:rsid w:val="2E2B5FA8"/>
    <w:rsid w:val="3E952BDE"/>
    <w:rsid w:val="3EFA21C9"/>
    <w:rsid w:val="3F2D6716"/>
    <w:rsid w:val="481A0CD3"/>
    <w:rsid w:val="48CD7988"/>
    <w:rsid w:val="4B60241F"/>
    <w:rsid w:val="4F3647F0"/>
    <w:rsid w:val="4FEF8D1B"/>
    <w:rsid w:val="525232E5"/>
    <w:rsid w:val="57CC0896"/>
    <w:rsid w:val="5E7000D4"/>
    <w:rsid w:val="5EA04F5B"/>
    <w:rsid w:val="67EF6A2D"/>
    <w:rsid w:val="6B4859C0"/>
    <w:rsid w:val="6B712A5B"/>
    <w:rsid w:val="6E6D4CCF"/>
    <w:rsid w:val="70AE56AC"/>
    <w:rsid w:val="743337B5"/>
    <w:rsid w:val="773FA41D"/>
    <w:rsid w:val="7803238B"/>
    <w:rsid w:val="78C708D5"/>
    <w:rsid w:val="7D7DAAC8"/>
    <w:rsid w:val="7FF740A8"/>
    <w:rsid w:val="A7FF1D06"/>
    <w:rsid w:val="F84FDE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15"/>
    <w:semiHidden/>
    <w:unhideWhenUsed/>
    <w:qFormat/>
    <w:uiPriority w:val="99"/>
    <w:pPr>
      <w:jc w:val="left"/>
    </w:pPr>
  </w:style>
  <w:style w:type="paragraph" w:styleId="3">
    <w:name w:val="Balloon Text"/>
    <w:basedOn w:val="1"/>
    <w:link w:val="17"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4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3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annotation subject"/>
    <w:basedOn w:val="2"/>
    <w:next w:val="2"/>
    <w:link w:val="16"/>
    <w:semiHidden/>
    <w:unhideWhenUsed/>
    <w:qFormat/>
    <w:uiPriority w:val="99"/>
    <w:rPr>
      <w:b/>
      <w:bCs/>
    </w:rPr>
  </w:style>
  <w:style w:type="character" w:styleId="9">
    <w:name w:val="annotation reference"/>
    <w:basedOn w:val="8"/>
    <w:semiHidden/>
    <w:unhideWhenUsed/>
    <w:qFormat/>
    <w:uiPriority w:val="99"/>
    <w:rPr>
      <w:sz w:val="21"/>
      <w:szCs w:val="21"/>
    </w:rPr>
  </w:style>
  <w:style w:type="paragraph" w:styleId="10">
    <w:name w:val="List Paragraph"/>
    <w:basedOn w:val="1"/>
    <w:qFormat/>
    <w:uiPriority w:val="34"/>
    <w:pPr>
      <w:ind w:firstLine="420" w:firstLineChars="200"/>
    </w:pPr>
  </w:style>
  <w:style w:type="character" w:customStyle="1" w:styleId="11">
    <w:name w:val="font51"/>
    <w:basedOn w:val="8"/>
    <w:qFormat/>
    <w:uiPriority w:val="0"/>
    <w:rPr>
      <w:rFonts w:hint="eastAsia" w:ascii="仿宋" w:hAnsi="仿宋" w:eastAsia="仿宋" w:cs="仿宋"/>
      <w:b/>
      <w:color w:val="000000"/>
      <w:sz w:val="22"/>
      <w:szCs w:val="22"/>
      <w:u w:val="none"/>
    </w:rPr>
  </w:style>
  <w:style w:type="character" w:customStyle="1" w:styleId="12">
    <w:name w:val="font61"/>
    <w:basedOn w:val="8"/>
    <w:qFormat/>
    <w:uiPriority w:val="0"/>
    <w:rPr>
      <w:rFonts w:hint="eastAsia" w:ascii="仿宋" w:hAnsi="仿宋" w:eastAsia="仿宋" w:cs="仿宋"/>
      <w:color w:val="000000"/>
      <w:sz w:val="22"/>
      <w:szCs w:val="22"/>
      <w:u w:val="none"/>
    </w:rPr>
  </w:style>
  <w:style w:type="character" w:customStyle="1" w:styleId="13">
    <w:name w:val="页眉 字符"/>
    <w:basedOn w:val="8"/>
    <w:link w:val="5"/>
    <w:qFormat/>
    <w:uiPriority w:val="99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4">
    <w:name w:val="页脚 字符"/>
    <w:basedOn w:val="8"/>
    <w:link w:val="4"/>
    <w:qFormat/>
    <w:uiPriority w:val="99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5">
    <w:name w:val="批注文字 字符"/>
    <w:basedOn w:val="8"/>
    <w:link w:val="2"/>
    <w:semiHidden/>
    <w:qFormat/>
    <w:uiPriority w:val="99"/>
    <w:rPr>
      <w:rFonts w:asciiTheme="minorHAnsi" w:hAnsiTheme="minorHAnsi" w:eastAsiaTheme="minorEastAsia" w:cstheme="minorBidi"/>
      <w:kern w:val="2"/>
      <w:sz w:val="21"/>
      <w:szCs w:val="22"/>
    </w:rPr>
  </w:style>
  <w:style w:type="character" w:customStyle="1" w:styleId="16">
    <w:name w:val="批注主题 字符"/>
    <w:basedOn w:val="15"/>
    <w:link w:val="6"/>
    <w:semiHidden/>
    <w:qFormat/>
    <w:uiPriority w:val="99"/>
    <w:rPr>
      <w:rFonts w:asciiTheme="minorHAnsi" w:hAnsiTheme="minorHAnsi" w:eastAsiaTheme="minorEastAsia" w:cstheme="minorBidi"/>
      <w:b/>
      <w:bCs/>
      <w:kern w:val="2"/>
      <w:sz w:val="21"/>
      <w:szCs w:val="22"/>
    </w:rPr>
  </w:style>
  <w:style w:type="character" w:customStyle="1" w:styleId="17">
    <w:name w:val="批注框文本 字符"/>
    <w:basedOn w:val="8"/>
    <w:link w:val="3"/>
    <w:semiHidden/>
    <w:qFormat/>
    <w:uiPriority w:val="99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8">
    <w:name w:val="font41"/>
    <w:basedOn w:val="8"/>
    <w:qFormat/>
    <w:uiPriority w:val="0"/>
    <w:rPr>
      <w:rFonts w:hint="eastAsia" w:ascii="仿宋" w:hAnsi="仿宋" w:eastAsia="仿宋" w:cs="仿宋"/>
      <w:color w:val="000000"/>
      <w:sz w:val="22"/>
      <w:szCs w:val="22"/>
      <w:u w:val="none"/>
    </w:rPr>
  </w:style>
  <w:style w:type="character" w:customStyle="1" w:styleId="19">
    <w:name w:val="font21"/>
    <w:basedOn w:val="8"/>
    <w:qFormat/>
    <w:uiPriority w:val="0"/>
    <w:rPr>
      <w:rFonts w:hint="eastAsia" w:ascii="仿宋" w:hAnsi="仿宋" w:eastAsia="仿宋" w:cs="仿宋"/>
      <w:b/>
      <w:bCs/>
      <w:color w:val="000000"/>
      <w:sz w:val="22"/>
      <w:szCs w:val="22"/>
      <w:u w:val="none"/>
    </w:rPr>
  </w:style>
  <w:style w:type="character" w:customStyle="1" w:styleId="20">
    <w:name w:val="font01"/>
    <w:basedOn w:val="8"/>
    <w:qFormat/>
    <w:uiPriority w:val="0"/>
    <w:rPr>
      <w:rFonts w:hint="eastAsia" w:ascii="仿宋" w:hAnsi="仿宋" w:eastAsia="仿宋" w:cs="仿宋"/>
      <w:color w:val="000000"/>
      <w:sz w:val="22"/>
      <w:szCs w:val="22"/>
      <w:u w:val="none"/>
    </w:rPr>
  </w:style>
  <w:style w:type="paragraph" w:customStyle="1" w:styleId="21">
    <w:name w:val="修订1"/>
    <w:hidden/>
    <w:semiHidden/>
    <w:qFormat/>
    <w:uiPriority w:val="99"/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customStyle="1" w:styleId="22">
    <w:name w:val="font31"/>
    <w:basedOn w:val="8"/>
    <w:qFormat/>
    <w:uiPriority w:val="0"/>
    <w:rPr>
      <w:rFonts w:hint="eastAsia" w:ascii="仿宋" w:hAnsi="仿宋" w:eastAsia="仿宋" w:cs="仿宋"/>
      <w:color w:val="000000"/>
      <w:sz w:val="22"/>
      <w:szCs w:val="22"/>
      <w:u w:val="none"/>
    </w:rPr>
  </w:style>
  <w:style w:type="character" w:customStyle="1" w:styleId="23">
    <w:name w:val="font71"/>
    <w:basedOn w:val="8"/>
    <w:qFormat/>
    <w:uiPriority w:val="0"/>
    <w:rPr>
      <w:rFonts w:hint="eastAsia" w:ascii="仿宋" w:hAnsi="仿宋" w:eastAsia="仿宋" w:cs="仿宋"/>
      <w:b/>
      <w:bCs/>
      <w:color w:val="000000"/>
      <w:sz w:val="22"/>
      <w:szCs w:val="22"/>
      <w:u w:val="none"/>
    </w:rPr>
  </w:style>
  <w:style w:type="character" w:customStyle="1" w:styleId="24">
    <w:name w:val="font11"/>
    <w:basedOn w:val="8"/>
    <w:qFormat/>
    <w:uiPriority w:val="0"/>
    <w:rPr>
      <w:rFonts w:hint="eastAsia" w:ascii="仿宋" w:hAnsi="仿宋" w:eastAsia="仿宋" w:cs="仿宋"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4" Type="http://schemas.openxmlformats.org/officeDocument/2006/relationships/fontTable" Target="fontTable.xml"/><Relationship Id="rId13" Type="http://schemas.openxmlformats.org/officeDocument/2006/relationships/image" Target="media/image10.png"/><Relationship Id="rId12" Type="http://schemas.openxmlformats.org/officeDocument/2006/relationships/image" Target="media/image9.png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14</Pages>
  <Words>593</Words>
  <Characters>3386</Characters>
  <Lines>28</Lines>
  <Paragraphs>7</Paragraphs>
  <TotalTime>2</TotalTime>
  <ScaleCrop>false</ScaleCrop>
  <LinksUpToDate>false</LinksUpToDate>
  <CharactersWithSpaces>3972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2023-08-31T18:30:00Z</dcterms:created>
  <dc:creator>Qiang Wang</dc:creator>
  <cp:lastModifiedBy>曹雨晴</cp:lastModifiedBy>
  <cp:lastPrinted>2021-03-05T22:38:00Z</cp:lastPrinted>
  <dcterms:modified xsi:type="dcterms:W3CDTF">2024-02-25T00:52:46Z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81DBE06479E24B678E11D29C1DA33209_13</vt:lpwstr>
  </property>
</Properties>
</file>